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3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</w:tblGrid>
      <w:tr w:rsidR="007207C6" w:rsidRPr="007207C6" w:rsidTr="007207C6">
        <w:tc>
          <w:tcPr>
            <w:tcW w:w="3168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235C4E" w:rsidRPr="00235C4E" w:rsidRDefault="007207C6" w:rsidP="007207C6">
            <w:pPr>
              <w:spacing w:before="150" w:after="150" w:line="36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7207C6">
              <w:rPr>
                <w:rFonts w:ascii="Helvetica" w:eastAsia="Times New Roman" w:hAnsi="Helvetica" w:cs="Helvetica"/>
                <w:noProof/>
                <w:color w:val="808080"/>
                <w:sz w:val="24"/>
                <w:szCs w:val="24"/>
                <w:lang w:eastAsia="fr-FR"/>
              </w:rPr>
              <w:drawing>
                <wp:inline distT="0" distB="0" distL="0" distR="0" wp14:anchorId="1F8D05A9" wp14:editId="001EE882">
                  <wp:extent cx="2575560" cy="1691640"/>
                  <wp:effectExtent l="0" t="0" r="0" b="3810"/>
                  <wp:docPr id="1" name="Image 1" descr="https://gallery.mailchimp.com/72a3358a1c3ba7d6f21e27214/images/efd5c237-805b-40d6-bb65-03eac56716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llery.mailchimp.com/72a3358a1c3ba7d6f21e27214/images/efd5c237-805b-40d6-bb65-03eac56716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C6"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  <w:br/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15 ans d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ésormais que le Salon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d’Art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Contemporain rythme la vie artistique de Colombes avec son incontournable rendez-vous automnal. 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br/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br/>
              <w:t xml:space="preserve">En respectant un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équilibre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entre toutes les disciplines des arts visuels, en offrant un espace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d’exposition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unique en son genre, le SACC offre aux artistes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sélectionnés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un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écrin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idéal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pour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présenter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pleinement leurs univers.</w:t>
            </w:r>
          </w:p>
          <w:p w:rsidR="007207C6" w:rsidRPr="007207C6" w:rsidRDefault="00235C4E" w:rsidP="007207C6">
            <w:pPr>
              <w:spacing w:before="150" w:after="150" w:line="36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</w:pPr>
            <w:r w:rsidRPr="00BB36C7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fr-FR"/>
              </w:rPr>
              <w:t>INSCRIPTIONS </w:t>
            </w:r>
            <w:proofErr w:type="gramStart"/>
            <w:r w:rsidRPr="00BB36C7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fr-FR"/>
              </w:rPr>
              <w:t>:</w:t>
            </w:r>
            <w:proofErr w:type="gramEnd"/>
            <w:r w:rsidRPr="00BB36C7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http://www.lecarredescreateurs.fr/portfolio/un-salon</w:t>
            </w:r>
            <w:r w:rsidR="007207C6"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br/>
            </w:r>
            <w:r w:rsidR="007207C6" w:rsidRPr="007207C6"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  <w:t> </w:t>
            </w:r>
            <w:bookmarkStart w:id="0" w:name="_GoBack"/>
            <w:bookmarkEnd w:id="0"/>
          </w:p>
        </w:tc>
      </w:tr>
    </w:tbl>
    <w:tbl>
      <w:tblPr>
        <w:tblpPr w:leftFromText="36" w:rightFromText="36" w:vertAnchor="text" w:tblpXSpec="right" w:tblpYSpec="center"/>
        <w:tblW w:w="3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</w:tblGrid>
      <w:tr w:rsidR="007207C6" w:rsidRPr="007207C6" w:rsidTr="007207C6">
        <w:tc>
          <w:tcPr>
            <w:tcW w:w="0" w:type="auto"/>
            <w:tcMar>
              <w:top w:w="0" w:type="dxa"/>
              <w:left w:w="135" w:type="dxa"/>
              <w:bottom w:w="135" w:type="dxa"/>
              <w:right w:w="135" w:type="dxa"/>
            </w:tcMar>
            <w:hideMark/>
          </w:tcPr>
          <w:p w:rsidR="007207C6" w:rsidRPr="007207C6" w:rsidRDefault="007207C6" w:rsidP="0072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207C6" w:rsidRPr="007207C6" w:rsidTr="007207C6">
        <w:tc>
          <w:tcPr>
            <w:tcW w:w="3168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207C6" w:rsidRPr="007207C6" w:rsidRDefault="007207C6" w:rsidP="007207C6">
            <w:pPr>
              <w:spacing w:after="0" w:line="360" w:lineRule="auto"/>
              <w:outlineLvl w:val="2"/>
              <w:rPr>
                <w:rFonts w:ascii="Helvetica" w:eastAsia="Times New Roman" w:hAnsi="Helvetica" w:cs="Helvetica"/>
                <w:b/>
                <w:bCs/>
                <w:sz w:val="33"/>
                <w:szCs w:val="33"/>
                <w:lang w:eastAsia="fr-FR"/>
              </w:rPr>
            </w:pPr>
            <w:r w:rsidRPr="007207C6">
              <w:rPr>
                <w:rFonts w:ascii="Helvetica" w:eastAsia="Times New Roman" w:hAnsi="Helvetica" w:cs="Helvetica"/>
                <w:b/>
                <w:bCs/>
                <w:sz w:val="33"/>
                <w:szCs w:val="33"/>
                <w:lang w:eastAsia="fr-FR"/>
              </w:rPr>
              <w:t>1 500 visiteurs, 40 artistes sélectionnés</w:t>
            </w:r>
            <w:proofErr w:type="gramStart"/>
            <w:r w:rsidRPr="007207C6">
              <w:rPr>
                <w:rFonts w:ascii="Helvetica" w:eastAsia="Times New Roman" w:hAnsi="Helvetica" w:cs="Helvetica"/>
                <w:b/>
                <w:bCs/>
                <w:sz w:val="33"/>
                <w:szCs w:val="33"/>
                <w:lang w:eastAsia="fr-FR"/>
              </w:rPr>
              <w:t>,</w:t>
            </w:r>
            <w:proofErr w:type="gramEnd"/>
            <w:r w:rsidRPr="007207C6">
              <w:rPr>
                <w:rFonts w:ascii="Helvetica" w:eastAsia="Times New Roman" w:hAnsi="Helvetica" w:cs="Helvetica"/>
                <w:b/>
                <w:bCs/>
                <w:sz w:val="33"/>
                <w:szCs w:val="33"/>
                <w:lang w:eastAsia="fr-FR"/>
              </w:rPr>
              <w:br/>
              <w:t>près de 100 œuvres vendues sur place ...</w:t>
            </w:r>
          </w:p>
          <w:p w:rsidR="007207C6" w:rsidRPr="007207C6" w:rsidRDefault="00BB36C7" w:rsidP="007207C6">
            <w:pPr>
              <w:spacing w:after="0" w:line="36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07C6" w:rsidRPr="007207C6" w:rsidRDefault="007207C6" w:rsidP="007207C6">
            <w:pPr>
              <w:spacing w:after="0" w:line="36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</w:pPr>
            <w:r w:rsidRPr="007207C6">
              <w:rPr>
                <w:rFonts w:ascii="Helvetica" w:eastAsia="Times New Roman" w:hAnsi="Helvetica" w:cs="Helvetica"/>
                <w:noProof/>
                <w:color w:val="808080"/>
                <w:sz w:val="24"/>
                <w:szCs w:val="24"/>
                <w:lang w:eastAsia="fr-FR"/>
              </w:rPr>
              <w:drawing>
                <wp:inline distT="0" distB="0" distL="0" distR="0" wp14:anchorId="38A0FDA7" wp14:editId="132FB31C">
                  <wp:extent cx="2575560" cy="1676400"/>
                  <wp:effectExtent l="0" t="0" r="0" b="0"/>
                  <wp:docPr id="3" name="Image 3" descr="https://gallery.mailchimp.com/72a3358a1c3ba7d6f21e27214/images/8899457e-6650-4db9-9d39-976577ecbb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llery.mailchimp.com/72a3358a1c3ba7d6f21e27214/images/8899457e-6650-4db9-9d39-976577ecbb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7C6" w:rsidRPr="007207C6" w:rsidRDefault="007207C6" w:rsidP="007207C6">
            <w:pPr>
              <w:spacing w:after="0" w:line="36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  <w:lang w:eastAsia="fr-FR"/>
              </w:rPr>
            </w:pP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Si, au fil des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années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, le Salon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d’Art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Contemporain a permis de faire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éclore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des vocations, de confirmer des artistes naissants et de donner de la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visibilité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́ à des artistes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confirmés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, il est aussi et surtout un lieu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d’exigence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. Pour cette raison, un jury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sélectionne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parmi les dossiers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présentés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, ceux des artistes contemporains les plus significatifs. Et le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résultat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est au rendez-vous, avec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près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de 100 </w:t>
            </w:r>
            <w:r w:rsidRPr="00235C4E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œuvres</w:t>
            </w:r>
            <w:r w:rsidRPr="007207C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 xml:space="preserve"> vendues aux 1500 visiteurs du Salon.</w:t>
            </w:r>
          </w:p>
        </w:tc>
      </w:tr>
    </w:tbl>
    <w:p w:rsidR="00462566" w:rsidRDefault="00462566"/>
    <w:sectPr w:rsidR="0046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66"/>
    <w:rsid w:val="0022147B"/>
    <w:rsid w:val="00235C4E"/>
    <w:rsid w:val="00462566"/>
    <w:rsid w:val="007207C6"/>
    <w:rsid w:val="00AB5DE9"/>
    <w:rsid w:val="00B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Chaumont</dc:creator>
  <cp:lastModifiedBy>Christian Chaumont</cp:lastModifiedBy>
  <cp:revision>3</cp:revision>
  <dcterms:created xsi:type="dcterms:W3CDTF">2017-06-01T08:24:00Z</dcterms:created>
  <dcterms:modified xsi:type="dcterms:W3CDTF">2017-06-02T07:02:00Z</dcterms:modified>
</cp:coreProperties>
</file>